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2B0B" w14:textId="77777777" w:rsidR="004D2B29" w:rsidRDefault="00172119" w:rsidP="0013184C">
      <w:pPr>
        <w:jc w:val="center"/>
        <w:rPr>
          <w:noProof/>
        </w:rPr>
      </w:pPr>
      <w:r>
        <w:rPr>
          <w:noProof/>
        </w:rPr>
        <w:drawing>
          <wp:inline distT="0" distB="0" distL="0" distR="0" wp14:anchorId="19A37514" wp14:editId="2ECF5217">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22730F41" w14:textId="15082156" w:rsidR="00BC532F" w:rsidRDefault="003011F2" w:rsidP="003A4547">
      <w:pPr>
        <w:spacing w:after="0"/>
        <w:rPr>
          <w:b/>
          <w:noProof/>
          <w:color w:val="C00000"/>
          <w:sz w:val="28"/>
        </w:rPr>
      </w:pPr>
      <w:r w:rsidRPr="002F685A">
        <w:rPr>
          <w:b/>
          <w:noProof/>
          <w:color w:val="C00000"/>
          <w:sz w:val="28"/>
        </w:rPr>
        <w:t xml:space="preserve">Embargoed Until </w:t>
      </w:r>
      <w:r w:rsidR="00A23FF5">
        <w:rPr>
          <w:b/>
          <w:noProof/>
          <w:color w:val="C00000"/>
          <w:sz w:val="28"/>
        </w:rPr>
        <w:t>Thursday</w:t>
      </w:r>
      <w:r w:rsidR="00451294">
        <w:rPr>
          <w:b/>
          <w:noProof/>
          <w:color w:val="C00000"/>
          <w:sz w:val="28"/>
        </w:rPr>
        <w:t xml:space="preserve">, </w:t>
      </w:r>
      <w:r w:rsidR="00A23FF5">
        <w:rPr>
          <w:b/>
          <w:noProof/>
          <w:color w:val="C00000"/>
          <w:sz w:val="28"/>
        </w:rPr>
        <w:t>May 1</w:t>
      </w:r>
      <w:r w:rsidRPr="002F685A">
        <w:rPr>
          <w:b/>
          <w:noProof/>
          <w:color w:val="C00000"/>
          <w:sz w:val="28"/>
        </w:rPr>
        <w:t xml:space="preserve">, </w:t>
      </w:r>
      <w:r w:rsidR="00A23FF5">
        <w:rPr>
          <w:b/>
          <w:noProof/>
          <w:color w:val="C00000"/>
          <w:sz w:val="28"/>
        </w:rPr>
        <w:t>4:00</w:t>
      </w:r>
      <w:r w:rsidR="009517A0">
        <w:rPr>
          <w:b/>
          <w:noProof/>
          <w:color w:val="C00000"/>
          <w:sz w:val="28"/>
        </w:rPr>
        <w:t xml:space="preserve"> PM</w:t>
      </w:r>
      <w:r w:rsidRPr="002F685A">
        <w:rPr>
          <w:b/>
          <w:noProof/>
          <w:color w:val="C00000"/>
          <w:sz w:val="28"/>
        </w:rPr>
        <w:t xml:space="preserve"> EDT</w:t>
      </w:r>
      <w:r w:rsidR="00A23FF5">
        <w:rPr>
          <w:b/>
          <w:noProof/>
          <w:color w:val="C00000"/>
          <w:sz w:val="28"/>
        </w:rPr>
        <w:t>/1:00</w:t>
      </w:r>
      <w:r w:rsidR="009517A0">
        <w:rPr>
          <w:b/>
          <w:noProof/>
          <w:color w:val="C00000"/>
          <w:sz w:val="28"/>
        </w:rPr>
        <w:t xml:space="preserve"> PM</w:t>
      </w:r>
      <w:r w:rsidR="00A23FF5">
        <w:rPr>
          <w:b/>
          <w:noProof/>
          <w:color w:val="C00000"/>
          <w:sz w:val="28"/>
        </w:rPr>
        <w:t xml:space="preserve"> PDT</w:t>
      </w:r>
    </w:p>
    <w:p w14:paraId="331CE451" w14:textId="77777777" w:rsidR="003011F2" w:rsidRDefault="003011F2" w:rsidP="003A4547">
      <w:pPr>
        <w:spacing w:after="0"/>
        <w:rPr>
          <w:b/>
          <w:noProof/>
        </w:rPr>
      </w:pPr>
    </w:p>
    <w:p w14:paraId="766FB7A3" w14:textId="77777777" w:rsidR="00800BE6" w:rsidRDefault="00800BE6" w:rsidP="003A4547">
      <w:pPr>
        <w:spacing w:after="0"/>
        <w:rPr>
          <w:b/>
          <w:noProof/>
        </w:rPr>
      </w:pPr>
      <w:r>
        <w:rPr>
          <w:b/>
          <w:noProof/>
        </w:rPr>
        <w:t>Contact:</w:t>
      </w:r>
    </w:p>
    <w:p w14:paraId="36E4DB9B"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04C998A9"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44F24C95"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1E70CB05" w14:textId="77777777" w:rsidR="00800BE6" w:rsidRDefault="00742C6C"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68293EF4" w14:textId="77777777" w:rsidR="005744EA" w:rsidRDefault="005744EA" w:rsidP="005744EA">
      <w:pPr>
        <w:rPr>
          <w:b/>
          <w:bCs/>
          <w:sz w:val="28"/>
          <w:szCs w:val="28"/>
        </w:rPr>
      </w:pPr>
    </w:p>
    <w:p w14:paraId="11610311" w14:textId="36A4BCE9" w:rsidR="00E940AA" w:rsidRPr="005827C4" w:rsidRDefault="00E940AA" w:rsidP="00E940AA">
      <w:pPr>
        <w:rPr>
          <w:b/>
          <w:bCs/>
          <w:sz w:val="28"/>
          <w:szCs w:val="28"/>
        </w:rPr>
      </w:pPr>
      <w:r w:rsidRPr="005827C4">
        <w:rPr>
          <w:b/>
          <w:bCs/>
          <w:sz w:val="28"/>
          <w:szCs w:val="28"/>
        </w:rPr>
        <w:t>Re-Operating</w:t>
      </w:r>
      <w:r>
        <w:rPr>
          <w:b/>
          <w:bCs/>
          <w:sz w:val="28"/>
          <w:szCs w:val="28"/>
        </w:rPr>
        <w:t xml:space="preserve"> Reconsidered</w:t>
      </w:r>
      <w:r w:rsidRPr="005827C4">
        <w:rPr>
          <w:b/>
          <w:bCs/>
          <w:sz w:val="28"/>
          <w:szCs w:val="28"/>
        </w:rPr>
        <w:t xml:space="preserve">: Surgeries to Improve Margin Status May be Unnecessary for Some </w:t>
      </w:r>
      <w:r w:rsidR="00E718EF">
        <w:rPr>
          <w:b/>
          <w:bCs/>
          <w:sz w:val="28"/>
          <w:szCs w:val="28"/>
        </w:rPr>
        <w:t xml:space="preserve">Patients with </w:t>
      </w:r>
      <w:r w:rsidRPr="005827C4">
        <w:rPr>
          <w:b/>
          <w:bCs/>
          <w:sz w:val="28"/>
          <w:szCs w:val="28"/>
        </w:rPr>
        <w:t xml:space="preserve">DCIS </w:t>
      </w:r>
    </w:p>
    <w:p w14:paraId="51BF5048" w14:textId="68EFFE33" w:rsidR="00E940AA" w:rsidRDefault="00E940AA" w:rsidP="00E940AA">
      <w:pPr>
        <w:rPr>
          <w:b/>
          <w:bCs/>
          <w:sz w:val="24"/>
          <w:szCs w:val="24"/>
        </w:rPr>
      </w:pPr>
      <w:r>
        <w:rPr>
          <w:b/>
          <w:bCs/>
          <w:sz w:val="24"/>
          <w:szCs w:val="24"/>
        </w:rPr>
        <w:t xml:space="preserve">Analysis of </w:t>
      </w:r>
      <w:r w:rsidRPr="005827C4">
        <w:rPr>
          <w:b/>
          <w:bCs/>
          <w:sz w:val="24"/>
          <w:szCs w:val="24"/>
        </w:rPr>
        <w:t>Large Data</w:t>
      </w:r>
      <w:r>
        <w:rPr>
          <w:b/>
          <w:bCs/>
          <w:sz w:val="24"/>
          <w:szCs w:val="24"/>
        </w:rPr>
        <w:t>set</w:t>
      </w:r>
      <w:r w:rsidRPr="005827C4">
        <w:rPr>
          <w:b/>
          <w:bCs/>
          <w:sz w:val="24"/>
          <w:szCs w:val="24"/>
        </w:rPr>
        <w:t xml:space="preserve"> Suggest</w:t>
      </w:r>
      <w:r>
        <w:rPr>
          <w:b/>
          <w:bCs/>
          <w:sz w:val="24"/>
          <w:szCs w:val="24"/>
        </w:rPr>
        <w:t>s</w:t>
      </w:r>
      <w:r w:rsidRPr="005827C4">
        <w:rPr>
          <w:b/>
          <w:bCs/>
          <w:sz w:val="24"/>
          <w:szCs w:val="24"/>
        </w:rPr>
        <w:t xml:space="preserve"> </w:t>
      </w:r>
      <w:r>
        <w:rPr>
          <w:b/>
          <w:bCs/>
          <w:sz w:val="24"/>
          <w:szCs w:val="24"/>
        </w:rPr>
        <w:t xml:space="preserve">Revisiting </w:t>
      </w:r>
      <w:r w:rsidRPr="005827C4">
        <w:rPr>
          <w:b/>
          <w:bCs/>
          <w:sz w:val="24"/>
          <w:szCs w:val="24"/>
        </w:rPr>
        <w:t>Margin Width Guidelines</w:t>
      </w:r>
    </w:p>
    <w:p w14:paraId="3377C155" w14:textId="77777777" w:rsidR="00E940AA" w:rsidRPr="00150075" w:rsidRDefault="00E940AA" w:rsidP="00E940AA">
      <w:pPr>
        <w:rPr>
          <w:b/>
          <w:bCs/>
          <w:i/>
          <w:iCs/>
        </w:rPr>
      </w:pPr>
      <w:r w:rsidRPr="00150075">
        <w:rPr>
          <w:b/>
          <w:bCs/>
          <w:i/>
          <w:iCs/>
        </w:rPr>
        <w:t>Abstract:</w:t>
      </w:r>
      <w:r w:rsidRPr="00150075">
        <w:rPr>
          <w:rFonts w:ascii="Arial" w:eastAsia="Arial" w:hAnsi="Arial" w:cs="Arial"/>
          <w:sz w:val="24"/>
          <w:szCs w:val="24"/>
        </w:rPr>
        <w:t xml:space="preserve"> </w:t>
      </w:r>
      <w:r w:rsidRPr="00150075">
        <w:rPr>
          <w:b/>
          <w:bCs/>
          <w:i/>
          <w:iCs/>
        </w:rPr>
        <w:t>Margin Width and Local Recurrence in the NRG Oncology/NSABP B-35 DCIS Lumpectomy Trial</w:t>
      </w:r>
    </w:p>
    <w:p w14:paraId="1440B84B" w14:textId="36086A04" w:rsidR="00E940AA" w:rsidRDefault="00E940AA" w:rsidP="00E940AA">
      <w:r w:rsidRPr="00545D82">
        <w:rPr>
          <w:b/>
        </w:rPr>
        <w:t xml:space="preserve">Las Vegas, NV, </w:t>
      </w:r>
      <w:r w:rsidR="00A23FF5">
        <w:rPr>
          <w:b/>
        </w:rPr>
        <w:t>May 1</w:t>
      </w:r>
      <w:r w:rsidRPr="00545D82">
        <w:rPr>
          <w:b/>
        </w:rPr>
        <w:t>, 2025</w:t>
      </w:r>
      <w:r w:rsidR="00A23FF5">
        <w:rPr>
          <w:b/>
        </w:rPr>
        <w:t>—</w:t>
      </w:r>
      <w:r w:rsidR="000E4CA2">
        <w:t>R</w:t>
      </w:r>
      <w:r w:rsidR="00A23FF5">
        <w:t>e-</w:t>
      </w:r>
      <w:r w:rsidR="00E718EF">
        <w:t>excision</w:t>
      </w:r>
      <w:r>
        <w:t xml:space="preserve"> to achieve wider disease-free tumor margins can be reconsidered for certain women treated </w:t>
      </w:r>
      <w:r w:rsidR="0092124E">
        <w:t xml:space="preserve">with lumpectomy </w:t>
      </w:r>
      <w:r>
        <w:t>for ductal cancer in situ (DCIS), the earliest stage of breast cancer, according to a study presented this week at the American Society of Breast Surgeons Annual Meeting.</w:t>
      </w:r>
    </w:p>
    <w:p w14:paraId="11EAC3A1" w14:textId="217995A8" w:rsidR="00E940AA" w:rsidRDefault="00E940AA" w:rsidP="00E940AA">
      <w:r>
        <w:t xml:space="preserve">The study analyzed data from </w:t>
      </w:r>
      <w:r w:rsidRPr="00420945">
        <w:t>NSABP</w:t>
      </w:r>
      <w:r>
        <w:t>/</w:t>
      </w:r>
      <w:r w:rsidRPr="00043385">
        <w:t>NRG Oncology B</w:t>
      </w:r>
      <w:r w:rsidRPr="00420945">
        <w:t>-35</w:t>
      </w:r>
      <w:r>
        <w:t xml:space="preserve">, </w:t>
      </w:r>
      <w:r w:rsidR="00E718EF">
        <w:t>a large</w:t>
      </w:r>
      <w:r>
        <w:t xml:space="preserve"> randomized trial</w:t>
      </w:r>
      <w:r w:rsidR="00E718EF">
        <w:t xml:space="preserve"> evaluating endocrine therapy</w:t>
      </w:r>
      <w:r w:rsidR="00394D22">
        <w:t xml:space="preserve">, which also </w:t>
      </w:r>
      <w:r>
        <w:t>prospectively collected margin width</w:t>
      </w:r>
      <w:r w:rsidR="00394D22">
        <w:t xml:space="preserve"> data. The study focused on </w:t>
      </w:r>
      <w:r>
        <w:t xml:space="preserve">post-menopausal women with hormone receptor-positive DCIS treated with breast-conserving surgery, whole breast irradiation and post-operative endocrine therapy. At 10 years post-surgery, researchers found no clinically meaningful differences in cancer recurrence in the same breast for patients whose tumors had margins equal to or greater than 1mm and margins equal to or greater than 2mm, suggesting that wider margins did not provide a benefit. </w:t>
      </w:r>
    </w:p>
    <w:p w14:paraId="765FBBAC" w14:textId="783FEA3C" w:rsidR="00E940AA" w:rsidRDefault="00E940AA" w:rsidP="00E940AA">
      <w:r>
        <w:t xml:space="preserve">Lead study author Irene L. Wapnir, MD, Professor of Surgery and Surgical Oncologist at </w:t>
      </w:r>
      <w:r w:rsidRPr="003B125C">
        <w:t>Stanford Medicine</w:t>
      </w:r>
      <w:r>
        <w:t>,</w:t>
      </w:r>
      <w:r w:rsidRPr="00381E03">
        <w:t xml:space="preserve"> explains, “</w:t>
      </w:r>
      <w:r>
        <w:t xml:space="preserve">In lumpectomy surgeries, the goal is </w:t>
      </w:r>
      <w:r w:rsidRPr="00381E03">
        <w:t xml:space="preserve">to remove </w:t>
      </w:r>
      <w:r>
        <w:t>a</w:t>
      </w:r>
      <w:r w:rsidRPr="00381E03">
        <w:t xml:space="preserve"> tumor </w:t>
      </w:r>
      <w:r>
        <w:t xml:space="preserve">surrounded by </w:t>
      </w:r>
      <w:r w:rsidRPr="00381E03">
        <w:t>a rim of normal breast tissue</w:t>
      </w:r>
      <w:r>
        <w:t xml:space="preserve"> to </w:t>
      </w:r>
      <w:r w:rsidRPr="00381E03">
        <w:t xml:space="preserve">minimize </w:t>
      </w:r>
      <w:r>
        <w:t xml:space="preserve">leaving cancer tissue behind. The current recommendation for patients with DCIS undergoing lumpectomy is a 2mm disease-free margin. If margins are found to be less than 2mm, women often return to the operating room to remove additional tissue </w:t>
      </w:r>
      <w:r w:rsidR="00E718EF">
        <w:t>from</w:t>
      </w:r>
      <w:r>
        <w:t xml:space="preserve"> the lumpectomy cavity. This study is extremely important because it sugge</w:t>
      </w:r>
      <w:bookmarkStart w:id="0" w:name="_GoBack"/>
      <w:bookmarkEnd w:id="0"/>
      <w:r>
        <w:t>sts a re-examination of the need for re-excision.”</w:t>
      </w:r>
    </w:p>
    <w:p w14:paraId="51AF9A90" w14:textId="5EBC0283" w:rsidR="00E940AA" w:rsidRDefault="00E940AA" w:rsidP="00E940AA">
      <w:r>
        <w:t>The NSABP B-35 trial examined two hormone therapy drugs for use with this DCIS population following breast-conserving surgery. It also prospectively collected data on margin width. All women in this multi-</w:t>
      </w:r>
      <w:r>
        <w:lastRenderedPageBreak/>
        <w:t>center study were treated with lumpectomy between 2003 and 2006. They were followed for a median of 9 years post-surgery.</w:t>
      </w:r>
      <w:r w:rsidR="00C87470">
        <w:t xml:space="preserve"> </w:t>
      </w:r>
    </w:p>
    <w:p w14:paraId="58C96180" w14:textId="0A4F7D6B" w:rsidR="00E940AA" w:rsidRPr="001024A5" w:rsidRDefault="00E940AA" w:rsidP="00E940AA">
      <w:pPr>
        <w:rPr>
          <w:rFonts w:cs="Calibri"/>
        </w:rPr>
      </w:pPr>
      <w:r w:rsidRPr="001024A5">
        <w:t xml:space="preserve">With </w:t>
      </w:r>
      <w:r w:rsidRPr="001024A5">
        <w:rPr>
          <w:rFonts w:cs="Calibri"/>
        </w:rPr>
        <w:t xml:space="preserve">little difference in disease-free survival between the two </w:t>
      </w:r>
      <w:r w:rsidR="00E718EF">
        <w:rPr>
          <w:rFonts w:cs="Calibri"/>
        </w:rPr>
        <w:t>endocrine therapy</w:t>
      </w:r>
      <w:r w:rsidRPr="001024A5">
        <w:rPr>
          <w:rFonts w:cs="Calibri"/>
        </w:rPr>
        <w:t xml:space="preserve"> cohorts, the double-blind phase 3 trial provided a powerful, homogeneous population for </w:t>
      </w:r>
      <w:r w:rsidR="00E718EF">
        <w:rPr>
          <w:rFonts w:cs="Calibri"/>
        </w:rPr>
        <w:t xml:space="preserve">secondary analysis to </w:t>
      </w:r>
      <w:r w:rsidRPr="001024A5">
        <w:rPr>
          <w:rFonts w:cs="Calibri"/>
        </w:rPr>
        <w:t>study the impact of margin width on local recurrence.</w:t>
      </w:r>
    </w:p>
    <w:p w14:paraId="40AE4783" w14:textId="77777777" w:rsidR="00E940AA" w:rsidRDefault="00E940AA" w:rsidP="00E940AA">
      <w:r>
        <w:t>“To our knowledge, this research uses the largest dataset of margin width and recurrence in this cancer population,” says Dr. Wapnir.</w:t>
      </w:r>
    </w:p>
    <w:p w14:paraId="78FA4886" w14:textId="77777777" w:rsidR="00E940AA" w:rsidRDefault="00E940AA" w:rsidP="00E940AA">
      <w:pPr>
        <w:rPr>
          <w:rFonts w:cs="Calibri"/>
          <w:sz w:val="24"/>
          <w:szCs w:val="24"/>
        </w:rPr>
      </w:pPr>
      <w:r>
        <w:rPr>
          <w:rFonts w:cs="Calibri"/>
        </w:rPr>
        <w:t>Researchers</w:t>
      </w:r>
      <w:r w:rsidRPr="001024A5">
        <w:rPr>
          <w:rFonts w:cs="Calibri"/>
        </w:rPr>
        <w:t xml:space="preserve"> analyzed 2,707 women to compare local recurrence among patients with margin</w:t>
      </w:r>
      <w:r>
        <w:rPr>
          <w:rFonts w:cs="Calibri"/>
        </w:rPr>
        <w:t xml:space="preserve"> widths </w:t>
      </w:r>
      <w:r w:rsidRPr="001024A5">
        <w:rPr>
          <w:rFonts w:cs="Calibri"/>
        </w:rPr>
        <w:t xml:space="preserve">less than 1mm to those with margins equal to or greater than 1mm. </w:t>
      </w:r>
      <w:r w:rsidRPr="001024A5">
        <w:t>The 10-year</w:t>
      </w:r>
      <w:r w:rsidRPr="00F3112B">
        <w:t xml:space="preserve"> cumulative incidence of </w:t>
      </w:r>
      <w:r>
        <w:t xml:space="preserve">cancer recurrence in the same breast for the two groups was </w:t>
      </w:r>
      <w:r w:rsidRPr="00F3112B">
        <w:t xml:space="preserve">5.6% </w:t>
      </w:r>
      <w:r>
        <w:t xml:space="preserve">and </w:t>
      </w:r>
      <w:r w:rsidRPr="00F3112B">
        <w:t>4</w:t>
      </w:r>
      <w:r>
        <w:t>.</w:t>
      </w:r>
      <w:r w:rsidRPr="00F3112B">
        <w:t xml:space="preserve">0% </w:t>
      </w:r>
      <w:r>
        <w:t>respectively.</w:t>
      </w:r>
    </w:p>
    <w:p w14:paraId="34BD3803" w14:textId="77777777" w:rsidR="00E940AA" w:rsidRDefault="00E940AA" w:rsidP="00E940AA">
      <w:r>
        <w:t xml:space="preserve">The study also looked at 2,546 women to compare the </w:t>
      </w:r>
      <w:r w:rsidRPr="00F3112B">
        <w:t xml:space="preserve">10-year cumulative incidence of </w:t>
      </w:r>
      <w:r>
        <w:t xml:space="preserve">local recurrence in </w:t>
      </w:r>
      <w:r w:rsidRPr="00F3112B">
        <w:t>patients with margin width</w:t>
      </w:r>
      <w:r>
        <w:t>s</w:t>
      </w:r>
      <w:r w:rsidRPr="00F3112B">
        <w:t xml:space="preserve"> </w:t>
      </w:r>
      <w:r>
        <w:t xml:space="preserve">less than </w:t>
      </w:r>
      <w:r w:rsidRPr="00F3112B">
        <w:t xml:space="preserve">2mm </w:t>
      </w:r>
      <w:r>
        <w:t>and margins equal to or greater than 2mm. These were 5.3</w:t>
      </w:r>
      <w:r w:rsidRPr="00F3112B">
        <w:t xml:space="preserve">% </w:t>
      </w:r>
      <w:r>
        <w:t xml:space="preserve">and </w:t>
      </w:r>
      <w:r w:rsidRPr="00F3112B">
        <w:t>3.8%</w:t>
      </w:r>
      <w:r>
        <w:t>,</w:t>
      </w:r>
      <w:r w:rsidRPr="00F3112B">
        <w:t xml:space="preserve"> </w:t>
      </w:r>
      <w:r>
        <w:t>respectively.</w:t>
      </w:r>
    </w:p>
    <w:p w14:paraId="5A1AA454" w14:textId="77777777" w:rsidR="00E940AA" w:rsidRDefault="00E940AA" w:rsidP="00E940AA">
      <w:r w:rsidRPr="00BA3A40">
        <w:t>Similar to the 1mm cutoff analysis, the 2mm analysis found the absolute difference in</w:t>
      </w:r>
      <w:r>
        <w:t xml:space="preserve"> local</w:t>
      </w:r>
      <w:r w:rsidRPr="00BA3A40">
        <w:t xml:space="preserve"> recurrence was 1.5%</w:t>
      </w:r>
      <w:r>
        <w:t>,</w:t>
      </w:r>
      <w:r w:rsidRPr="00BA3A40">
        <w:t xml:space="preserve"> but of borderline statistical significance and minimal practical significance.</w:t>
      </w:r>
    </w:p>
    <w:p w14:paraId="4B1F112B" w14:textId="24314FA4" w:rsidR="00E940AA" w:rsidRDefault="00E940AA" w:rsidP="00E940AA">
      <w:r>
        <w:t>Dr. Wapnir and colleagues believe that clinicians should consider whether such a small difference in recurrence merits repeat surgery. “For patients, re-operation and removal of more breast tissue can impact cosmetic appearance</w:t>
      </w:r>
      <w:r w:rsidRPr="00066AE8">
        <w:t xml:space="preserve"> </w:t>
      </w:r>
      <w:r>
        <w:t xml:space="preserve">and can contribute to </w:t>
      </w:r>
      <w:r w:rsidRPr="00066AE8">
        <w:t xml:space="preserve">stress, </w:t>
      </w:r>
      <w:r>
        <w:t xml:space="preserve">loss of </w:t>
      </w:r>
      <w:r w:rsidRPr="00066AE8">
        <w:t>time and expense</w:t>
      </w:r>
      <w:r>
        <w:t>. It also utilizes greater healthcare</w:t>
      </w:r>
      <w:r w:rsidRPr="00066AE8">
        <w:t xml:space="preserve"> </w:t>
      </w:r>
      <w:r>
        <w:t xml:space="preserve">resources.” She adds, </w:t>
      </w:r>
      <w:r w:rsidRPr="000D01D6">
        <w:t>“The</w:t>
      </w:r>
      <w:r>
        <w:t xml:space="preserve"> results of this study </w:t>
      </w:r>
      <w:r w:rsidRPr="000D01D6">
        <w:t>are compelling</w:t>
      </w:r>
      <w:r>
        <w:t>,</w:t>
      </w:r>
      <w:r w:rsidRPr="000D01D6">
        <w:t xml:space="preserve"> </w:t>
      </w:r>
      <w:r>
        <w:t xml:space="preserve">and </w:t>
      </w:r>
      <w:r w:rsidRPr="000D01D6">
        <w:t>we hope will improve patients’ lives.”</w:t>
      </w:r>
    </w:p>
    <w:p w14:paraId="01E2729F" w14:textId="77777777" w:rsidR="00E940AA" w:rsidRDefault="00E940AA" w:rsidP="00E940AA"/>
    <w:p w14:paraId="6753E2A0" w14:textId="77777777" w:rsidR="00E940AA" w:rsidRDefault="00E940AA" w:rsidP="00E940AA"/>
    <w:p w14:paraId="1829FC0E" w14:textId="77777777" w:rsidR="00E940AA" w:rsidRDefault="00E940AA" w:rsidP="00E940AA"/>
    <w:p w14:paraId="1DB76D18" w14:textId="77777777" w:rsidR="00E940AA" w:rsidRDefault="00E940AA" w:rsidP="00E940AA"/>
    <w:p w14:paraId="20E0FA8D" w14:textId="77777777" w:rsidR="00E940AA" w:rsidRDefault="00E940AA" w:rsidP="00E940AA"/>
    <w:p w14:paraId="71F8BBFA" w14:textId="77777777" w:rsidR="00E940AA" w:rsidRDefault="00E940AA" w:rsidP="00E940AA"/>
    <w:p w14:paraId="6E504DF8" w14:textId="77777777" w:rsidR="00E940AA" w:rsidRDefault="00E940AA" w:rsidP="00E940AA"/>
    <w:p w14:paraId="19CC0F85" w14:textId="77777777" w:rsidR="00E940AA" w:rsidRDefault="00E940AA" w:rsidP="00E940AA"/>
    <w:p w14:paraId="447C0E80" w14:textId="77777777" w:rsidR="00E940AA" w:rsidRDefault="00E940AA" w:rsidP="00E940AA"/>
    <w:p w14:paraId="66450C47" w14:textId="77777777" w:rsidR="00E940AA" w:rsidRDefault="00E940AA" w:rsidP="00E940AA"/>
    <w:p w14:paraId="01F50073" w14:textId="77777777" w:rsidR="00E940AA" w:rsidRDefault="00E940AA" w:rsidP="00E940AA">
      <w:pPr>
        <w:rPr>
          <w:b/>
        </w:rPr>
      </w:pPr>
      <w:r>
        <w:rPr>
          <w:b/>
        </w:rPr>
        <w:br w:type="page"/>
      </w:r>
    </w:p>
    <w:p w14:paraId="2F1EEA89" w14:textId="77777777" w:rsidR="00E940AA" w:rsidRPr="00F85276" w:rsidRDefault="00E940AA" w:rsidP="00E940AA">
      <w:pPr>
        <w:rPr>
          <w:b/>
        </w:rPr>
      </w:pPr>
      <w:r w:rsidRPr="00F85276">
        <w:rPr>
          <w:b/>
        </w:rPr>
        <w:lastRenderedPageBreak/>
        <w:t>Margin Width and Local Recurrence in the NRG Oncology/NSABP B-35 DCIS Lumpectomy Trial</w:t>
      </w:r>
    </w:p>
    <w:p w14:paraId="50184A6F" w14:textId="77777777" w:rsidR="00E940AA" w:rsidRDefault="00E940AA" w:rsidP="00E940AA">
      <w:pPr>
        <w:rPr>
          <w:b/>
        </w:rPr>
      </w:pPr>
      <w:r w:rsidRPr="00F85276">
        <w:rPr>
          <w:b/>
        </w:rPr>
        <w:t>Authors:</w:t>
      </w:r>
      <w:r w:rsidRPr="00F85276">
        <w:t xml:space="preserve"> </w:t>
      </w:r>
      <w:r w:rsidRPr="00B115B8">
        <w:rPr>
          <w:u w:val="single"/>
        </w:rPr>
        <w:t>Irene Wapnir</w:t>
      </w:r>
      <w:r w:rsidRPr="00B115B8">
        <w:rPr>
          <w:vertAlign w:val="superscript"/>
        </w:rPr>
        <w:t>1</w:t>
      </w:r>
      <w:r w:rsidRPr="00B115B8">
        <w:t>, Reena Cecchini</w:t>
      </w:r>
      <w:r w:rsidRPr="00B115B8">
        <w:rPr>
          <w:vertAlign w:val="superscript"/>
        </w:rPr>
        <w:t>2</w:t>
      </w:r>
      <w:r w:rsidRPr="00B115B8">
        <w:t>, James Dignam</w:t>
      </w:r>
      <w:r w:rsidRPr="00B115B8">
        <w:rPr>
          <w:vertAlign w:val="superscript"/>
        </w:rPr>
        <w:t>3</w:t>
      </w:r>
      <w:r w:rsidRPr="00B115B8">
        <w:t>, Stewart Anderson</w:t>
      </w:r>
      <w:r w:rsidRPr="00B115B8">
        <w:rPr>
          <w:vertAlign w:val="superscript"/>
        </w:rPr>
        <w:t>4</w:t>
      </w:r>
      <w:r w:rsidRPr="00B115B8">
        <w:t>, Jiahe Li</w:t>
      </w:r>
      <w:r w:rsidRPr="00B115B8">
        <w:rPr>
          <w:vertAlign w:val="superscript"/>
        </w:rPr>
        <w:t>5</w:t>
      </w:r>
      <w:r w:rsidRPr="00B115B8">
        <w:t>, J. Marie Suga</w:t>
      </w:r>
      <w:r w:rsidRPr="00B115B8">
        <w:rPr>
          <w:vertAlign w:val="superscript"/>
        </w:rPr>
        <w:t>6</w:t>
      </w:r>
      <w:r w:rsidRPr="00B115B8">
        <w:t>, Adam Brufsky</w:t>
      </w:r>
      <w:r w:rsidRPr="00B115B8">
        <w:rPr>
          <w:vertAlign w:val="superscript"/>
        </w:rPr>
        <w:t>7</w:t>
      </w:r>
      <w:r w:rsidRPr="00B115B8">
        <w:t>, Judith Hopkins</w:t>
      </w:r>
      <w:r w:rsidRPr="00B115B8">
        <w:rPr>
          <w:vertAlign w:val="superscript"/>
        </w:rPr>
        <w:t>8</w:t>
      </w:r>
      <w:r w:rsidRPr="00B115B8">
        <w:t>, Laura Vallow</w:t>
      </w:r>
      <w:r w:rsidRPr="00B115B8">
        <w:rPr>
          <w:vertAlign w:val="superscript"/>
        </w:rPr>
        <w:t>9</w:t>
      </w:r>
      <w:r w:rsidRPr="00B115B8">
        <w:t>, Kathy Albain</w:t>
      </w:r>
      <w:r w:rsidRPr="00B115B8">
        <w:rPr>
          <w:vertAlign w:val="superscript"/>
        </w:rPr>
        <w:t>10</w:t>
      </w:r>
      <w:r w:rsidRPr="00B115B8">
        <w:t>, Mary Cianfrocca</w:t>
      </w:r>
      <w:r w:rsidRPr="00B115B8">
        <w:rPr>
          <w:vertAlign w:val="superscript"/>
        </w:rPr>
        <w:t>11</w:t>
      </w:r>
      <w:r w:rsidRPr="00B115B8">
        <w:t>, Thomas Julian</w:t>
      </w:r>
      <w:r w:rsidRPr="00B115B8">
        <w:rPr>
          <w:vertAlign w:val="superscript"/>
        </w:rPr>
        <w:t>12</w:t>
      </w:r>
      <w:r w:rsidRPr="00B115B8">
        <w:t>, Jean-Francois Boileau</w:t>
      </w:r>
      <w:r w:rsidRPr="00B115B8">
        <w:rPr>
          <w:vertAlign w:val="superscript"/>
        </w:rPr>
        <w:t>13</w:t>
      </w:r>
      <w:r w:rsidRPr="00B115B8">
        <w:t>, Eleftherios Mamounas</w:t>
      </w:r>
      <w:r w:rsidRPr="00B115B8">
        <w:rPr>
          <w:vertAlign w:val="superscript"/>
        </w:rPr>
        <w:t>14</w:t>
      </w:r>
      <w:r w:rsidRPr="00B115B8">
        <w:t>, Norman Wolmark</w:t>
      </w:r>
      <w:r w:rsidRPr="00B115B8">
        <w:rPr>
          <w:vertAlign w:val="superscript"/>
        </w:rPr>
        <w:t>15</w:t>
      </w:r>
      <w:r w:rsidRPr="00F85276">
        <w:rPr>
          <w:b/>
        </w:rPr>
        <w:t xml:space="preserve"> </w:t>
      </w:r>
    </w:p>
    <w:p w14:paraId="4EEC6BCD" w14:textId="77777777" w:rsidR="00E940AA" w:rsidRPr="00B115B8" w:rsidRDefault="00E940AA" w:rsidP="00E940AA">
      <w:r>
        <w:rPr>
          <w:b/>
        </w:rPr>
        <w:t xml:space="preserve">Institutions: </w:t>
      </w:r>
      <w:r w:rsidRPr="00B115B8">
        <w:rPr>
          <w:i/>
          <w:iCs/>
          <w:vertAlign w:val="superscript"/>
        </w:rPr>
        <w:t>1</w:t>
      </w:r>
      <w:r w:rsidRPr="00B115B8">
        <w:rPr>
          <w:i/>
          <w:iCs/>
        </w:rPr>
        <w:t>Stanford University School of Medicine, Stanford, CA, </w:t>
      </w:r>
      <w:r w:rsidRPr="00B115B8">
        <w:rPr>
          <w:i/>
          <w:iCs/>
          <w:vertAlign w:val="superscript"/>
        </w:rPr>
        <w:t>2</w:t>
      </w:r>
      <w:r w:rsidRPr="00B115B8">
        <w:rPr>
          <w:i/>
          <w:iCs/>
        </w:rPr>
        <w:t>NRG Oncology Statistical and Data Management Center; Department of Biostatistics and Health Data Science, University of Pittsburgh School of Public Health, Pittsburgh, PA, </w:t>
      </w:r>
      <w:r w:rsidRPr="00B115B8">
        <w:rPr>
          <w:i/>
          <w:iCs/>
          <w:vertAlign w:val="superscript"/>
        </w:rPr>
        <w:t>3</w:t>
      </w:r>
      <w:r w:rsidRPr="00B115B8">
        <w:rPr>
          <w:i/>
          <w:iCs/>
        </w:rPr>
        <w:t>University of Chicago; NRG Oncology Statistical and Data Management Center, Chicago, IL, </w:t>
      </w:r>
      <w:r w:rsidRPr="00B115B8">
        <w:rPr>
          <w:i/>
          <w:iCs/>
          <w:vertAlign w:val="superscript"/>
        </w:rPr>
        <w:t>4</w:t>
      </w:r>
      <w:r w:rsidRPr="00B115B8">
        <w:rPr>
          <w:i/>
          <w:iCs/>
        </w:rPr>
        <w:t>NSABP Foundation, Inc.; Department of Biostatistics, University of Pittsburgh School of Public Health, Pittsburgh, PA, </w:t>
      </w:r>
      <w:r w:rsidRPr="00B115B8">
        <w:rPr>
          <w:i/>
          <w:iCs/>
          <w:vertAlign w:val="superscript"/>
        </w:rPr>
        <w:t>5</w:t>
      </w:r>
      <w:r w:rsidRPr="00B115B8">
        <w:rPr>
          <w:i/>
          <w:iCs/>
        </w:rPr>
        <w:t>NRG Oncology Statistical and Data Management Center; Department of Biostatistics and Health Data Science, University of Pittsburgh, Pittsburgh, PA, </w:t>
      </w:r>
      <w:r w:rsidRPr="00B115B8">
        <w:rPr>
          <w:i/>
          <w:iCs/>
          <w:vertAlign w:val="superscript"/>
        </w:rPr>
        <w:t>6</w:t>
      </w:r>
      <w:r w:rsidRPr="00B115B8">
        <w:rPr>
          <w:i/>
          <w:iCs/>
        </w:rPr>
        <w:t>Kaiser Permanente NCORP, Vallejo, CA, </w:t>
      </w:r>
      <w:r w:rsidRPr="00B115B8">
        <w:rPr>
          <w:i/>
          <w:iCs/>
          <w:vertAlign w:val="superscript"/>
        </w:rPr>
        <w:t>7</w:t>
      </w:r>
      <w:r w:rsidRPr="00B115B8">
        <w:rPr>
          <w:i/>
          <w:iCs/>
        </w:rPr>
        <w:t>Unversity of Pittsburgh, Pittsburgh, PA, </w:t>
      </w:r>
      <w:r w:rsidRPr="00B115B8">
        <w:rPr>
          <w:i/>
          <w:iCs/>
          <w:vertAlign w:val="superscript"/>
        </w:rPr>
        <w:t>8</w:t>
      </w:r>
      <w:r w:rsidRPr="00B115B8">
        <w:rPr>
          <w:i/>
          <w:iCs/>
        </w:rPr>
        <w:t>SCOR/Novant Health Cancer Institute, Kernersville, NC, </w:t>
      </w:r>
      <w:r w:rsidRPr="00B115B8">
        <w:rPr>
          <w:i/>
          <w:iCs/>
          <w:vertAlign w:val="superscript"/>
        </w:rPr>
        <w:t>9</w:t>
      </w:r>
      <w:r w:rsidRPr="00B115B8">
        <w:rPr>
          <w:i/>
          <w:iCs/>
        </w:rPr>
        <w:t>Mayo Clinic Florida, Jacksonville, FL, </w:t>
      </w:r>
      <w:r w:rsidRPr="00B115B8">
        <w:rPr>
          <w:i/>
          <w:iCs/>
          <w:vertAlign w:val="superscript"/>
        </w:rPr>
        <w:t>10</w:t>
      </w:r>
      <w:r w:rsidRPr="00B115B8">
        <w:rPr>
          <w:i/>
          <w:iCs/>
        </w:rPr>
        <w:t>Loyola University Chicago Stritch School of Medicine, Maywood, IL, </w:t>
      </w:r>
      <w:r w:rsidRPr="00B115B8">
        <w:rPr>
          <w:i/>
          <w:iCs/>
          <w:vertAlign w:val="superscript"/>
        </w:rPr>
        <w:t>11</w:t>
      </w:r>
      <w:r w:rsidRPr="00B115B8">
        <w:rPr>
          <w:i/>
          <w:iCs/>
        </w:rPr>
        <w:t>City of Hope, Duarte, CA, </w:t>
      </w:r>
      <w:r w:rsidRPr="00B115B8">
        <w:rPr>
          <w:i/>
          <w:iCs/>
          <w:vertAlign w:val="superscript"/>
        </w:rPr>
        <w:t>12</w:t>
      </w:r>
      <w:r w:rsidRPr="00B115B8">
        <w:rPr>
          <w:i/>
          <w:iCs/>
        </w:rPr>
        <w:t>Allegheny Health Network, Pittsburgh, PA, </w:t>
      </w:r>
      <w:r w:rsidRPr="00B115B8">
        <w:rPr>
          <w:i/>
          <w:iCs/>
          <w:vertAlign w:val="superscript"/>
        </w:rPr>
        <w:t>13</w:t>
      </w:r>
      <w:r w:rsidRPr="00B115B8">
        <w:rPr>
          <w:i/>
          <w:iCs/>
        </w:rPr>
        <w:t>Jewish General Hospital, McGill University, Montréal, PQ, Canada, </w:t>
      </w:r>
      <w:r w:rsidRPr="00B115B8">
        <w:rPr>
          <w:i/>
          <w:iCs/>
          <w:vertAlign w:val="superscript"/>
        </w:rPr>
        <w:t>14</w:t>
      </w:r>
      <w:r w:rsidRPr="00B115B8">
        <w:rPr>
          <w:i/>
          <w:iCs/>
        </w:rPr>
        <w:t>AdventHealth Cancer Institute, Orlando, FL, </w:t>
      </w:r>
      <w:r w:rsidRPr="00B115B8">
        <w:rPr>
          <w:i/>
          <w:iCs/>
          <w:vertAlign w:val="superscript"/>
        </w:rPr>
        <w:t>15</w:t>
      </w:r>
      <w:r w:rsidRPr="00B115B8">
        <w:rPr>
          <w:i/>
          <w:iCs/>
        </w:rPr>
        <w:t>NSABP Foundation, Inc.; UPMC Hillman Cancer Center; University of Pittsburgh School of Medicine, Pittsburgh, PA</w:t>
      </w:r>
    </w:p>
    <w:p w14:paraId="5EF06B64" w14:textId="77777777" w:rsidR="00E940AA" w:rsidRPr="00F85276" w:rsidRDefault="00E940AA" w:rsidP="00E940AA">
      <w:pPr>
        <w:rPr>
          <w:b/>
        </w:rPr>
      </w:pPr>
      <w:r w:rsidRPr="00F85276">
        <w:rPr>
          <w:b/>
        </w:rPr>
        <w:t>Background/Objective</w:t>
      </w:r>
    </w:p>
    <w:p w14:paraId="4854C5F3" w14:textId="77777777" w:rsidR="00E940AA" w:rsidRPr="00B115B8" w:rsidRDefault="00E940AA" w:rsidP="00E940AA">
      <w:r w:rsidRPr="00B115B8">
        <w:t>NSABP B-35 is the largest randomized trial to prospectively collect margin width data on post-menopausal women with hormone receptor-positive DCIS treated by lumpectomy, whole breast irradiation, and adjuvant endocrine therapy. Local recurrence rates were similar in the tamoxifen and anastrozole arms of the trial providing an opportunity to analyze the effect of margin width on ipsilateral breast tumor recurrence (IBTR) and all breast cancer events.</w:t>
      </w:r>
    </w:p>
    <w:p w14:paraId="773AE752" w14:textId="77777777" w:rsidR="00E940AA" w:rsidRPr="00F85276" w:rsidRDefault="00E940AA" w:rsidP="00E940AA">
      <w:pPr>
        <w:rPr>
          <w:b/>
        </w:rPr>
      </w:pPr>
      <w:r w:rsidRPr="00F85276">
        <w:rPr>
          <w:b/>
        </w:rPr>
        <w:t>Methods</w:t>
      </w:r>
    </w:p>
    <w:p w14:paraId="29C93225" w14:textId="77777777" w:rsidR="00E940AA" w:rsidRPr="00B115B8" w:rsidRDefault="00E940AA" w:rsidP="00E940AA">
      <w:r w:rsidRPr="00B115B8">
        <w:t xml:space="preserve">NSABP B-35 was a phase 3, double-blind, randomized trial for DCIS in post-menopausal women treated by lumpectomy plus WBI, 5000-5040 </w:t>
      </w:r>
      <w:proofErr w:type="spellStart"/>
      <w:r w:rsidRPr="00B115B8">
        <w:t>cGy</w:t>
      </w:r>
      <w:proofErr w:type="spellEnd"/>
      <w:r w:rsidRPr="00B115B8">
        <w:t xml:space="preserve"> with an optional 1000 </w:t>
      </w:r>
      <w:proofErr w:type="spellStart"/>
      <w:r w:rsidRPr="00B115B8">
        <w:t>cGy</w:t>
      </w:r>
      <w:proofErr w:type="spellEnd"/>
      <w:r w:rsidRPr="00B115B8">
        <w:t xml:space="preserve"> boost. Participants were randomly assigned to five years of tamoxifen or anastrozole. Margins were classified by institutional pathologists as: positive (no ink on tumor), close (&lt; 1mm), or negative (at least 1 mm). The closest surgical margin width was measured on those cancers having a negative margin, which enabled the analysis herein using 2mm as the discriminant size.</w:t>
      </w:r>
    </w:p>
    <w:p w14:paraId="26958AF0" w14:textId="77777777" w:rsidR="00E940AA" w:rsidRPr="00F85276" w:rsidRDefault="00E940AA" w:rsidP="00E940AA">
      <w:pPr>
        <w:rPr>
          <w:b/>
        </w:rPr>
      </w:pPr>
      <w:r w:rsidRPr="00F85276">
        <w:rPr>
          <w:b/>
        </w:rPr>
        <w:t>Results</w:t>
      </w:r>
    </w:p>
    <w:p w14:paraId="51FFD654" w14:textId="77777777" w:rsidR="00E940AA" w:rsidRPr="00B115B8" w:rsidRDefault="00E940AA" w:rsidP="00E940AA">
      <w:r w:rsidRPr="00B115B8">
        <w:t xml:space="preserve">Among 2,707 women analyzed using 1mm as the discriminant margin width, IBTR was the most common first event occurring in 90 patients (3.3%); 24/502 (4.8%) in those with &lt; 1mm margins and 66/2,205 (3.0%) with margin widths &gt;1 mm. The proportion of invasive-IBTRs was 29% and 39%, respectively. The 10-year cumulative incidence of all IBTR events for patients with a margin of &lt; 1mm was 5.6% compared to 4.0% for those with margins that were ≥1mm (p=0.04). By comparison, for the 2,546 women analyzed using 2mm as discriminant margin width, 88 (3.5%) experienced an IBTR as a first </w:t>
      </w:r>
      <w:r w:rsidRPr="00B115B8">
        <w:lastRenderedPageBreak/>
        <w:t>event with 39/879 (4.4%) events for patients with &lt; 2mm margins and 49/1,667 (2.9%) with &gt;2mm margins. The 10-year cumulative incidence of IBTR events for patients with a margin width of &lt; 2mm was 5.3% compared to 3.8% among those with margins that were ≥2mm (p=0.05). Contralateral breast cancer represented the second most common breast cancer event, occurring in 3.2% of participants.</w:t>
      </w:r>
    </w:p>
    <w:p w14:paraId="5ECE36BF" w14:textId="77777777" w:rsidR="00E940AA" w:rsidRPr="00F85276" w:rsidRDefault="00E940AA" w:rsidP="00E940AA">
      <w:pPr>
        <w:rPr>
          <w:b/>
        </w:rPr>
      </w:pPr>
      <w:r w:rsidRPr="00F85276">
        <w:rPr>
          <w:b/>
        </w:rPr>
        <w:t>Conclusions</w:t>
      </w:r>
    </w:p>
    <w:p w14:paraId="28171C3F" w14:textId="77777777" w:rsidR="00400523" w:rsidRPr="00E940AA" w:rsidRDefault="00E940AA" w:rsidP="00E940AA">
      <w:r w:rsidRPr="00B115B8">
        <w:t>The differences in 10-year IBTR cumulative incidences between the 1mm and 2mm cutoffs for margin width (5.6% vs 5.3% for &lt; 1mm vs &lt; 2mm, respectively, and 4.0% vs 3.8% for ≥1mm vs ≥2mm, respectively) are clinically minimal. These results indicate that the need to undertake re-excision lumpectomies based on margin width among post-menopausal women receiving lumpectomy, breast irradiation, and adjuvant endocrine therapy should be reconsidered. NCT 00053898 Support: U10-80868, -180822, UG1CA189867.</w:t>
      </w:r>
    </w:p>
    <w:sectPr w:rsidR="00400523" w:rsidRPr="00E940AA" w:rsidSect="00273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1B1B" w14:textId="77777777" w:rsidR="00742C6C" w:rsidRDefault="00742C6C" w:rsidP="00320729">
      <w:pPr>
        <w:spacing w:after="0" w:line="240" w:lineRule="auto"/>
      </w:pPr>
      <w:r>
        <w:separator/>
      </w:r>
    </w:p>
  </w:endnote>
  <w:endnote w:type="continuationSeparator" w:id="0">
    <w:p w14:paraId="52C3F9DF" w14:textId="77777777" w:rsidR="00742C6C" w:rsidRDefault="00742C6C"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B6D4E"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508D293E" w14:textId="77777777" w:rsidR="00320729" w:rsidRPr="00320729" w:rsidRDefault="00742C6C"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982E" w14:textId="77777777" w:rsidR="00742C6C" w:rsidRDefault="00742C6C" w:rsidP="00320729">
      <w:pPr>
        <w:spacing w:after="0" w:line="240" w:lineRule="auto"/>
      </w:pPr>
      <w:r>
        <w:separator/>
      </w:r>
    </w:p>
  </w:footnote>
  <w:footnote w:type="continuationSeparator" w:id="0">
    <w:p w14:paraId="6EA43810" w14:textId="77777777" w:rsidR="00742C6C" w:rsidRDefault="00742C6C"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0CBE"/>
    <w:rsid w:val="00015AB9"/>
    <w:rsid w:val="00043D0C"/>
    <w:rsid w:val="00045101"/>
    <w:rsid w:val="00047680"/>
    <w:rsid w:val="000511CE"/>
    <w:rsid w:val="00062256"/>
    <w:rsid w:val="00070761"/>
    <w:rsid w:val="00072612"/>
    <w:rsid w:val="00083DCE"/>
    <w:rsid w:val="00097229"/>
    <w:rsid w:val="000A1436"/>
    <w:rsid w:val="000A598A"/>
    <w:rsid w:val="000B08C8"/>
    <w:rsid w:val="000C0765"/>
    <w:rsid w:val="000C4167"/>
    <w:rsid w:val="000D1798"/>
    <w:rsid w:val="000D6682"/>
    <w:rsid w:val="000E4CA2"/>
    <w:rsid w:val="000F45BC"/>
    <w:rsid w:val="00105714"/>
    <w:rsid w:val="00121AED"/>
    <w:rsid w:val="001232CB"/>
    <w:rsid w:val="0013184C"/>
    <w:rsid w:val="0013222E"/>
    <w:rsid w:val="00143FC7"/>
    <w:rsid w:val="00147EA7"/>
    <w:rsid w:val="0015077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327F7"/>
    <w:rsid w:val="00250BA9"/>
    <w:rsid w:val="002519DE"/>
    <w:rsid w:val="00271E4B"/>
    <w:rsid w:val="00273EC9"/>
    <w:rsid w:val="00286D67"/>
    <w:rsid w:val="002875C9"/>
    <w:rsid w:val="00291753"/>
    <w:rsid w:val="002960B8"/>
    <w:rsid w:val="00296901"/>
    <w:rsid w:val="002A0CE7"/>
    <w:rsid w:val="002A4D07"/>
    <w:rsid w:val="002A6898"/>
    <w:rsid w:val="002B2CD0"/>
    <w:rsid w:val="002B5F10"/>
    <w:rsid w:val="002B7022"/>
    <w:rsid w:val="002C4B60"/>
    <w:rsid w:val="002E1672"/>
    <w:rsid w:val="002F4EF9"/>
    <w:rsid w:val="003011F2"/>
    <w:rsid w:val="0030414E"/>
    <w:rsid w:val="00315DBD"/>
    <w:rsid w:val="00320729"/>
    <w:rsid w:val="00333C58"/>
    <w:rsid w:val="00343B3C"/>
    <w:rsid w:val="00346CF4"/>
    <w:rsid w:val="0035002B"/>
    <w:rsid w:val="00353971"/>
    <w:rsid w:val="00377099"/>
    <w:rsid w:val="00394D22"/>
    <w:rsid w:val="00396A57"/>
    <w:rsid w:val="003A4547"/>
    <w:rsid w:val="003C1A94"/>
    <w:rsid w:val="003F3834"/>
    <w:rsid w:val="003F7859"/>
    <w:rsid w:val="00400523"/>
    <w:rsid w:val="00403CFC"/>
    <w:rsid w:val="00405637"/>
    <w:rsid w:val="00423815"/>
    <w:rsid w:val="004361D5"/>
    <w:rsid w:val="00442B62"/>
    <w:rsid w:val="00451294"/>
    <w:rsid w:val="004709CB"/>
    <w:rsid w:val="00482274"/>
    <w:rsid w:val="0048283B"/>
    <w:rsid w:val="0048396B"/>
    <w:rsid w:val="004842B1"/>
    <w:rsid w:val="004A224D"/>
    <w:rsid w:val="004B40C1"/>
    <w:rsid w:val="004C0EB6"/>
    <w:rsid w:val="004C2233"/>
    <w:rsid w:val="004C5E6D"/>
    <w:rsid w:val="004C78CA"/>
    <w:rsid w:val="004D2B29"/>
    <w:rsid w:val="004F156F"/>
    <w:rsid w:val="005114CC"/>
    <w:rsid w:val="00511BFE"/>
    <w:rsid w:val="00512A14"/>
    <w:rsid w:val="0051548F"/>
    <w:rsid w:val="00516DD9"/>
    <w:rsid w:val="00520F87"/>
    <w:rsid w:val="0053306E"/>
    <w:rsid w:val="00533159"/>
    <w:rsid w:val="00533F13"/>
    <w:rsid w:val="00557360"/>
    <w:rsid w:val="00557E5E"/>
    <w:rsid w:val="00561F83"/>
    <w:rsid w:val="0057221C"/>
    <w:rsid w:val="00572394"/>
    <w:rsid w:val="005744EA"/>
    <w:rsid w:val="00576DE8"/>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7381F"/>
    <w:rsid w:val="0069445C"/>
    <w:rsid w:val="006B0EDD"/>
    <w:rsid w:val="006C5291"/>
    <w:rsid w:val="006C5590"/>
    <w:rsid w:val="006D6B48"/>
    <w:rsid w:val="006E1FCA"/>
    <w:rsid w:val="0070056C"/>
    <w:rsid w:val="00701C73"/>
    <w:rsid w:val="007075C5"/>
    <w:rsid w:val="00722556"/>
    <w:rsid w:val="007311B1"/>
    <w:rsid w:val="00736275"/>
    <w:rsid w:val="00737826"/>
    <w:rsid w:val="00742C6C"/>
    <w:rsid w:val="00746CAB"/>
    <w:rsid w:val="00750BD0"/>
    <w:rsid w:val="00761584"/>
    <w:rsid w:val="007620BF"/>
    <w:rsid w:val="00764C10"/>
    <w:rsid w:val="00770657"/>
    <w:rsid w:val="0077247B"/>
    <w:rsid w:val="007724E3"/>
    <w:rsid w:val="0078294D"/>
    <w:rsid w:val="00792ABA"/>
    <w:rsid w:val="007A1A95"/>
    <w:rsid w:val="007A2993"/>
    <w:rsid w:val="007B47D6"/>
    <w:rsid w:val="007C282E"/>
    <w:rsid w:val="007E0F1A"/>
    <w:rsid w:val="00800BE6"/>
    <w:rsid w:val="00802DD8"/>
    <w:rsid w:val="00815113"/>
    <w:rsid w:val="00823732"/>
    <w:rsid w:val="008304D3"/>
    <w:rsid w:val="00832040"/>
    <w:rsid w:val="008406FF"/>
    <w:rsid w:val="008504B5"/>
    <w:rsid w:val="008540C0"/>
    <w:rsid w:val="00861385"/>
    <w:rsid w:val="008649AC"/>
    <w:rsid w:val="00872CC5"/>
    <w:rsid w:val="008740B8"/>
    <w:rsid w:val="00881CBB"/>
    <w:rsid w:val="008860FB"/>
    <w:rsid w:val="008A31A4"/>
    <w:rsid w:val="008A7490"/>
    <w:rsid w:val="008B06E8"/>
    <w:rsid w:val="008B5F7F"/>
    <w:rsid w:val="008B69F5"/>
    <w:rsid w:val="008C15B5"/>
    <w:rsid w:val="008E04CE"/>
    <w:rsid w:val="008E0583"/>
    <w:rsid w:val="008E1864"/>
    <w:rsid w:val="008F1AA7"/>
    <w:rsid w:val="00911D9C"/>
    <w:rsid w:val="009138C6"/>
    <w:rsid w:val="00913A82"/>
    <w:rsid w:val="0092124E"/>
    <w:rsid w:val="00925AE0"/>
    <w:rsid w:val="0093299A"/>
    <w:rsid w:val="00940B56"/>
    <w:rsid w:val="009517A0"/>
    <w:rsid w:val="0095305F"/>
    <w:rsid w:val="009814ED"/>
    <w:rsid w:val="00987F04"/>
    <w:rsid w:val="009A4FD8"/>
    <w:rsid w:val="009B3778"/>
    <w:rsid w:val="009D0F7D"/>
    <w:rsid w:val="009E5457"/>
    <w:rsid w:val="009E6375"/>
    <w:rsid w:val="009F4E04"/>
    <w:rsid w:val="00A04A15"/>
    <w:rsid w:val="00A1218D"/>
    <w:rsid w:val="00A23FF5"/>
    <w:rsid w:val="00A243BD"/>
    <w:rsid w:val="00A47F53"/>
    <w:rsid w:val="00A50D0C"/>
    <w:rsid w:val="00A66C3F"/>
    <w:rsid w:val="00A7068C"/>
    <w:rsid w:val="00A7404B"/>
    <w:rsid w:val="00A75F14"/>
    <w:rsid w:val="00A81AEE"/>
    <w:rsid w:val="00A8257C"/>
    <w:rsid w:val="00A91532"/>
    <w:rsid w:val="00A9225D"/>
    <w:rsid w:val="00A9290A"/>
    <w:rsid w:val="00AA7D2F"/>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A02A4"/>
    <w:rsid w:val="00BB54D7"/>
    <w:rsid w:val="00BB590F"/>
    <w:rsid w:val="00BB7D3F"/>
    <w:rsid w:val="00BC532F"/>
    <w:rsid w:val="00BC5E69"/>
    <w:rsid w:val="00BD1FD9"/>
    <w:rsid w:val="00BD3925"/>
    <w:rsid w:val="00BE1A09"/>
    <w:rsid w:val="00C01245"/>
    <w:rsid w:val="00C03A8D"/>
    <w:rsid w:val="00C236F7"/>
    <w:rsid w:val="00C3160A"/>
    <w:rsid w:val="00C374A9"/>
    <w:rsid w:val="00C43863"/>
    <w:rsid w:val="00C54D41"/>
    <w:rsid w:val="00C87470"/>
    <w:rsid w:val="00C90655"/>
    <w:rsid w:val="00CC0DCE"/>
    <w:rsid w:val="00CD480B"/>
    <w:rsid w:val="00CD7466"/>
    <w:rsid w:val="00CE256C"/>
    <w:rsid w:val="00CE6FA8"/>
    <w:rsid w:val="00D0349F"/>
    <w:rsid w:val="00D04D28"/>
    <w:rsid w:val="00D05222"/>
    <w:rsid w:val="00D22A55"/>
    <w:rsid w:val="00D238A0"/>
    <w:rsid w:val="00D23F95"/>
    <w:rsid w:val="00D24DD3"/>
    <w:rsid w:val="00D25443"/>
    <w:rsid w:val="00D3121C"/>
    <w:rsid w:val="00D529A2"/>
    <w:rsid w:val="00D87B3D"/>
    <w:rsid w:val="00D91632"/>
    <w:rsid w:val="00D95369"/>
    <w:rsid w:val="00DA1763"/>
    <w:rsid w:val="00DB3709"/>
    <w:rsid w:val="00DB6372"/>
    <w:rsid w:val="00DC0990"/>
    <w:rsid w:val="00DC4C2C"/>
    <w:rsid w:val="00DD3002"/>
    <w:rsid w:val="00DE1200"/>
    <w:rsid w:val="00DE7625"/>
    <w:rsid w:val="00DF75FF"/>
    <w:rsid w:val="00E05C92"/>
    <w:rsid w:val="00E14CF8"/>
    <w:rsid w:val="00E21477"/>
    <w:rsid w:val="00E27B70"/>
    <w:rsid w:val="00E32F3B"/>
    <w:rsid w:val="00E46E56"/>
    <w:rsid w:val="00E51B8D"/>
    <w:rsid w:val="00E6522D"/>
    <w:rsid w:val="00E718EF"/>
    <w:rsid w:val="00E83CA5"/>
    <w:rsid w:val="00E8497A"/>
    <w:rsid w:val="00E9055A"/>
    <w:rsid w:val="00E940AA"/>
    <w:rsid w:val="00E94899"/>
    <w:rsid w:val="00EB19F7"/>
    <w:rsid w:val="00EB699B"/>
    <w:rsid w:val="00EB7B10"/>
    <w:rsid w:val="00EC7CA0"/>
    <w:rsid w:val="00EE1420"/>
    <w:rsid w:val="00EE41FA"/>
    <w:rsid w:val="00EE60C4"/>
    <w:rsid w:val="00F0430D"/>
    <w:rsid w:val="00F17089"/>
    <w:rsid w:val="00F238DC"/>
    <w:rsid w:val="00F24C12"/>
    <w:rsid w:val="00F26243"/>
    <w:rsid w:val="00F266D1"/>
    <w:rsid w:val="00F374FE"/>
    <w:rsid w:val="00F375FA"/>
    <w:rsid w:val="00F410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BD16"/>
  <w15:docId w15:val="{5A51B018-F241-48BB-BCE4-BF3B099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7985</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randel</dc:creator>
  <cp:lastModifiedBy>Molly</cp:lastModifiedBy>
  <cp:revision>2</cp:revision>
  <cp:lastPrinted>2022-03-17T08:07:00Z</cp:lastPrinted>
  <dcterms:created xsi:type="dcterms:W3CDTF">2025-04-23T14:37:00Z</dcterms:created>
  <dcterms:modified xsi:type="dcterms:W3CDTF">2025-04-23T14:37:00Z</dcterms:modified>
</cp:coreProperties>
</file>